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CED18" w14:textId="77777777" w:rsidR="00FE1E88" w:rsidRDefault="007A1FEB" w:rsidP="007A1FEB">
      <w:pPr>
        <w:spacing w:after="0"/>
        <w:jc w:val="center"/>
        <w:rPr>
          <w:b/>
          <w:sz w:val="24"/>
        </w:rPr>
      </w:pPr>
      <w:r>
        <w:rPr>
          <w:b/>
          <w:sz w:val="28"/>
        </w:rPr>
        <w:t>Energy – The Driver of Climate</w:t>
      </w:r>
    </w:p>
    <w:p w14:paraId="37C09560" w14:textId="77777777" w:rsidR="00FE1E88" w:rsidRPr="00AC2DD5" w:rsidRDefault="00FE1E88" w:rsidP="00FE1E88">
      <w:pPr>
        <w:spacing w:after="0"/>
        <w:rPr>
          <w:b/>
          <w:sz w:val="24"/>
          <w:u w:val="single"/>
        </w:rPr>
      </w:pPr>
      <w:r w:rsidRPr="00AC2DD5">
        <w:rPr>
          <w:b/>
          <w:sz w:val="24"/>
          <w:u w:val="single"/>
        </w:rPr>
        <w:t>Overview &amp; Concepts</w:t>
      </w:r>
    </w:p>
    <w:p w14:paraId="722F4DD4" w14:textId="77777777" w:rsidR="007A1FEB" w:rsidRDefault="007A1FEB" w:rsidP="00FE1E88">
      <w:pPr>
        <w:spacing w:after="0"/>
        <w:rPr>
          <w:b/>
          <w:sz w:val="24"/>
        </w:rPr>
      </w:pPr>
    </w:p>
    <w:p w14:paraId="1BC9A292" w14:textId="113414BB" w:rsidR="007A1FEB" w:rsidRPr="007A1FEB" w:rsidRDefault="007A1FEB" w:rsidP="007A1FEB">
      <w:pPr>
        <w:widowControl w:val="0"/>
        <w:autoSpaceDE w:val="0"/>
        <w:autoSpaceDN w:val="0"/>
        <w:adjustRightInd w:val="0"/>
        <w:spacing w:after="280" w:line="240" w:lineRule="auto"/>
        <w:rPr>
          <w:rFonts w:ascii="Calibri" w:hAnsi="Calibri" w:cs="Verdana"/>
          <w:sz w:val="24"/>
          <w:szCs w:val="24"/>
        </w:rPr>
      </w:pPr>
      <w:r w:rsidRPr="007A1FEB">
        <w:rPr>
          <w:rFonts w:ascii="Calibri" w:hAnsi="Calibri" w:cs="Verdana"/>
          <w:sz w:val="24"/>
          <w:szCs w:val="24"/>
        </w:rPr>
        <w:t xml:space="preserve">In this module </w:t>
      </w:r>
      <w:r w:rsidR="008C1811">
        <w:rPr>
          <w:rFonts w:ascii="Calibri" w:hAnsi="Calibri" w:cs="Verdana"/>
          <w:sz w:val="24"/>
          <w:szCs w:val="24"/>
        </w:rPr>
        <w:t>students</w:t>
      </w:r>
      <w:r w:rsidRPr="007A1FEB">
        <w:rPr>
          <w:rFonts w:ascii="Calibri" w:hAnsi="Calibri" w:cs="Verdana"/>
          <w:sz w:val="24"/>
          <w:szCs w:val="24"/>
        </w:rPr>
        <w:t xml:space="preserve"> will learn about energy, the ultimate driver of climate. </w:t>
      </w:r>
      <w:r w:rsidR="008C1811">
        <w:rPr>
          <w:rFonts w:ascii="Calibri" w:hAnsi="Calibri" w:cs="Verdana"/>
          <w:sz w:val="24"/>
          <w:szCs w:val="24"/>
        </w:rPr>
        <w:t>They</w:t>
      </w:r>
      <w:r w:rsidRPr="007A1FEB">
        <w:rPr>
          <w:rFonts w:ascii="Calibri" w:hAnsi="Calibri" w:cs="Verdana"/>
          <w:sz w:val="24"/>
          <w:szCs w:val="24"/>
        </w:rPr>
        <w:t xml:space="preserve"> will learn about Earth’s unique atmosphere and the role it plays in moderating our climate, along with the balance of incoming energy from the sun and outgoing energy from Earth.</w:t>
      </w:r>
    </w:p>
    <w:p w14:paraId="216E8BE4" w14:textId="18F5AE4C" w:rsidR="007A1FEB" w:rsidRPr="007A1FEB" w:rsidRDefault="007A1FEB" w:rsidP="007A1FEB">
      <w:pPr>
        <w:widowControl w:val="0"/>
        <w:autoSpaceDE w:val="0"/>
        <w:autoSpaceDN w:val="0"/>
        <w:adjustRightInd w:val="0"/>
        <w:spacing w:after="280" w:line="240" w:lineRule="auto"/>
        <w:rPr>
          <w:rFonts w:ascii="Calibri" w:hAnsi="Calibri" w:cs="Verdana"/>
          <w:sz w:val="24"/>
          <w:szCs w:val="24"/>
        </w:rPr>
      </w:pPr>
      <w:r w:rsidRPr="007A1FEB">
        <w:rPr>
          <w:rFonts w:ascii="Calibri" w:hAnsi="Calibri" w:cs="Verdana"/>
          <w:sz w:val="24"/>
          <w:szCs w:val="24"/>
        </w:rPr>
        <w:t xml:space="preserve">When </w:t>
      </w:r>
      <w:r w:rsidR="008C1811">
        <w:rPr>
          <w:rFonts w:ascii="Calibri" w:hAnsi="Calibri" w:cs="Verdana"/>
          <w:sz w:val="24"/>
          <w:szCs w:val="24"/>
        </w:rPr>
        <w:t>students</w:t>
      </w:r>
      <w:r w:rsidRPr="007A1FEB">
        <w:rPr>
          <w:rFonts w:ascii="Calibri" w:hAnsi="Calibri" w:cs="Verdana"/>
          <w:sz w:val="24"/>
          <w:szCs w:val="24"/>
        </w:rPr>
        <w:t xml:space="preserve"> complete this module, </w:t>
      </w:r>
      <w:r w:rsidR="008C1811">
        <w:rPr>
          <w:rFonts w:ascii="Calibri" w:hAnsi="Calibri" w:cs="Verdana"/>
          <w:sz w:val="24"/>
          <w:szCs w:val="24"/>
        </w:rPr>
        <w:t>they will</w:t>
      </w:r>
      <w:r w:rsidRPr="007A1FEB">
        <w:rPr>
          <w:rFonts w:ascii="Calibri" w:hAnsi="Calibri" w:cs="Verdana"/>
          <w:sz w:val="24"/>
          <w:szCs w:val="24"/>
        </w:rPr>
        <w:t xml:space="preserve"> be able to</w:t>
      </w:r>
    </w:p>
    <w:p w14:paraId="28F95CEE" w14:textId="77777777" w:rsidR="007A1FEB" w:rsidRPr="007A1FEB" w:rsidRDefault="007A1FEB" w:rsidP="007A1FE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Verdana"/>
          <w:sz w:val="24"/>
          <w:szCs w:val="24"/>
        </w:rPr>
      </w:pPr>
      <w:r w:rsidRPr="007A1FEB">
        <w:rPr>
          <w:rFonts w:ascii="Calibri" w:hAnsi="Calibri" w:cs="Verdana"/>
          <w:sz w:val="24"/>
          <w:szCs w:val="24"/>
        </w:rPr>
        <w:t>Compare the composition of Earth’s early atmosphere to the present composition.</w:t>
      </w:r>
    </w:p>
    <w:p w14:paraId="016EEBA9" w14:textId="77777777" w:rsidR="007A1FEB" w:rsidRPr="007A1FEB" w:rsidRDefault="007A1FEB" w:rsidP="007A1FE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Verdana"/>
          <w:sz w:val="24"/>
          <w:szCs w:val="24"/>
        </w:rPr>
      </w:pPr>
      <w:r w:rsidRPr="007A1FEB">
        <w:rPr>
          <w:rFonts w:ascii="Calibri" w:hAnsi="Calibri" w:cs="Verdana"/>
          <w:sz w:val="24"/>
          <w:szCs w:val="24"/>
        </w:rPr>
        <w:t>Compare and contrast the layers of Earth’s atmosphere.</w:t>
      </w:r>
    </w:p>
    <w:p w14:paraId="175353AA" w14:textId="77777777" w:rsidR="007A1FEB" w:rsidRPr="007A1FEB" w:rsidRDefault="007A1FEB" w:rsidP="007A1FE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Verdana"/>
          <w:sz w:val="24"/>
          <w:szCs w:val="24"/>
        </w:rPr>
      </w:pPr>
      <w:r w:rsidRPr="007A1FEB">
        <w:rPr>
          <w:rFonts w:ascii="Calibri" w:hAnsi="Calibri" w:cs="Verdana"/>
          <w:sz w:val="24"/>
          <w:szCs w:val="24"/>
        </w:rPr>
        <w:t>Explain the relationship between wavelength and frequency of electromagnetic waves.</w:t>
      </w:r>
    </w:p>
    <w:p w14:paraId="72BD6D1C" w14:textId="77777777" w:rsidR="007A1FEB" w:rsidRPr="007A1FEB" w:rsidRDefault="007A1FEB" w:rsidP="007A1FE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Verdana"/>
          <w:sz w:val="24"/>
          <w:szCs w:val="24"/>
        </w:rPr>
      </w:pPr>
      <w:r w:rsidRPr="007A1FEB">
        <w:rPr>
          <w:rFonts w:ascii="Calibri" w:hAnsi="Calibri" w:cs="Verdana"/>
          <w:sz w:val="24"/>
          <w:szCs w:val="24"/>
        </w:rPr>
        <w:t>Analyze the sun’s electromagnetic spectrum to explain why different percentages of wavelengths reach Earth.</w:t>
      </w:r>
    </w:p>
    <w:p w14:paraId="680FB408" w14:textId="77777777" w:rsidR="007A1FEB" w:rsidRPr="007A1FEB" w:rsidRDefault="007A1FEB" w:rsidP="007A1FE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Verdana"/>
          <w:sz w:val="24"/>
          <w:szCs w:val="24"/>
        </w:rPr>
      </w:pPr>
      <w:r w:rsidRPr="007A1FEB">
        <w:rPr>
          <w:rFonts w:ascii="Calibri" w:hAnsi="Calibri" w:cs="Verdana"/>
          <w:sz w:val="24"/>
          <w:szCs w:val="24"/>
        </w:rPr>
        <w:t>Use two fundamental laws (Stefan-Boltzmann law and Wien’s law) to explain the correlation between temperature and radiation for the sun and Earth.</w:t>
      </w:r>
    </w:p>
    <w:p w14:paraId="3D7A8BDF" w14:textId="77777777" w:rsidR="007A1FEB" w:rsidRPr="007A1FEB" w:rsidRDefault="007A1FEB" w:rsidP="007A1FE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Verdana"/>
          <w:sz w:val="24"/>
          <w:szCs w:val="24"/>
        </w:rPr>
      </w:pPr>
      <w:r w:rsidRPr="007A1FEB">
        <w:rPr>
          <w:rFonts w:ascii="Calibri" w:hAnsi="Calibri" w:cs="Verdana"/>
          <w:sz w:val="24"/>
          <w:szCs w:val="24"/>
        </w:rPr>
        <w:t>Describe the three ways that heat energy is transferred within Earth’s atmosphere and between its surfaces and the atmosphere.</w:t>
      </w:r>
    </w:p>
    <w:p w14:paraId="2154B23F" w14:textId="77777777" w:rsidR="007A1FEB" w:rsidRPr="007A1FEB" w:rsidRDefault="007A1FEB" w:rsidP="007A1FE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Verdana"/>
          <w:sz w:val="24"/>
          <w:szCs w:val="24"/>
        </w:rPr>
      </w:pPr>
      <w:r w:rsidRPr="007A1FEB">
        <w:rPr>
          <w:rFonts w:ascii="Calibri" w:hAnsi="Calibri" w:cs="Verdana"/>
          <w:sz w:val="24"/>
          <w:szCs w:val="24"/>
        </w:rPr>
        <w:t>Calculate Earth’s global radiation balance by analyzing the amount of incoming solar radiation and outgoing terrestrial radiation.</w:t>
      </w:r>
    </w:p>
    <w:p w14:paraId="4946D242" w14:textId="77777777" w:rsidR="007A1FEB" w:rsidRPr="007A1FEB" w:rsidRDefault="007A1FEB" w:rsidP="007A1FE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Verdana"/>
          <w:sz w:val="24"/>
          <w:szCs w:val="24"/>
        </w:rPr>
      </w:pPr>
      <w:r w:rsidRPr="007A1FEB">
        <w:rPr>
          <w:rFonts w:ascii="Calibri" w:hAnsi="Calibri" w:cs="Verdana"/>
          <w:sz w:val="24"/>
          <w:szCs w:val="24"/>
        </w:rPr>
        <w:t>Explain why some greenhouse gases are more effective absorbers of infrared radiation.</w:t>
      </w:r>
    </w:p>
    <w:p w14:paraId="3CFD10BC" w14:textId="77777777" w:rsidR="007A1FEB" w:rsidRPr="007A1FEB" w:rsidRDefault="007A1FEB" w:rsidP="007A1FE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Verdana"/>
          <w:sz w:val="24"/>
          <w:szCs w:val="24"/>
        </w:rPr>
      </w:pPr>
      <w:r w:rsidRPr="007A1FEB">
        <w:rPr>
          <w:rFonts w:ascii="Calibri" w:hAnsi="Calibri" w:cs="Verdana"/>
          <w:sz w:val="24"/>
          <w:szCs w:val="24"/>
        </w:rPr>
        <w:t>Explain the relationship between Earth’s energy budget and the global average temperature of Earth.</w:t>
      </w:r>
    </w:p>
    <w:p w14:paraId="5377BF35" w14:textId="77777777" w:rsidR="007A1FEB" w:rsidRPr="007A1FEB" w:rsidRDefault="007A1FEB" w:rsidP="007A1FE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Verdana"/>
          <w:sz w:val="24"/>
          <w:szCs w:val="24"/>
        </w:rPr>
      </w:pPr>
      <w:r w:rsidRPr="007A1FEB">
        <w:rPr>
          <w:rFonts w:ascii="Calibri" w:hAnsi="Calibri" w:cs="Verdana"/>
          <w:sz w:val="24"/>
          <w:szCs w:val="24"/>
        </w:rPr>
        <w:t>Explain how the greenhouse effect works.</w:t>
      </w:r>
    </w:p>
    <w:p w14:paraId="33EF35F6" w14:textId="77777777" w:rsidR="007A1FEB" w:rsidRDefault="007A1FEB" w:rsidP="007A1FEB">
      <w:pPr>
        <w:spacing w:after="0" w:line="240" w:lineRule="auto"/>
        <w:rPr>
          <w:rFonts w:ascii="Calibri" w:hAnsi="Calibri" w:cs="Verdana"/>
          <w:sz w:val="24"/>
          <w:szCs w:val="24"/>
        </w:rPr>
      </w:pPr>
      <w:r w:rsidRPr="007A1FEB">
        <w:rPr>
          <w:rFonts w:ascii="Calibri" w:hAnsi="Calibri" w:cs="Verdana"/>
          <w:sz w:val="24"/>
          <w:szCs w:val="24"/>
        </w:rPr>
        <w:t>Differentiate between the natural greenhouse effect and an amplified greenhouse effect.</w:t>
      </w:r>
    </w:p>
    <w:p w14:paraId="7AF5F2CF" w14:textId="77777777" w:rsidR="007A1FEB" w:rsidRPr="007A1FEB" w:rsidRDefault="007A1FEB" w:rsidP="007A1FEB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64DB4E87" w14:textId="77777777" w:rsidR="000E0CED" w:rsidRDefault="000E0CED" w:rsidP="000E0CED">
      <w:pPr>
        <w:spacing w:after="0"/>
        <w:rPr>
          <w:b/>
          <w:sz w:val="24"/>
          <w:szCs w:val="24"/>
          <w:u w:val="single"/>
        </w:rPr>
      </w:pPr>
      <w:r w:rsidRPr="004D02B9">
        <w:rPr>
          <w:b/>
          <w:sz w:val="24"/>
          <w:szCs w:val="24"/>
          <w:u w:val="single"/>
        </w:rPr>
        <w:t>Science Standards</w:t>
      </w:r>
      <w:r>
        <w:rPr>
          <w:b/>
          <w:sz w:val="24"/>
          <w:szCs w:val="24"/>
          <w:u w:val="single"/>
        </w:rPr>
        <w:t xml:space="preserve"> (Next Generation Science Standards, Sunshine State Science Standards, and Climate and Energy Literacy Principles)</w:t>
      </w:r>
    </w:p>
    <w:p w14:paraId="4C608E66" w14:textId="77777777" w:rsidR="000E0CED" w:rsidRPr="00E678D2" w:rsidRDefault="000E0CED" w:rsidP="000E0CED">
      <w:pPr>
        <w:spacing w:after="0"/>
        <w:rPr>
          <w:b/>
          <w:sz w:val="24"/>
          <w:szCs w:val="24"/>
          <w:u w:val="single"/>
        </w:rPr>
      </w:pPr>
    </w:p>
    <w:p w14:paraId="2F43B479" w14:textId="77777777" w:rsidR="000E0CED" w:rsidRPr="00E678D2" w:rsidRDefault="000E0CED" w:rsidP="000E0CED">
      <w:pPr>
        <w:spacing w:after="0"/>
      </w:pPr>
      <w:r w:rsidRPr="00E678D2">
        <w:t xml:space="preserve">See website for standards addressed in the module. </w:t>
      </w:r>
    </w:p>
    <w:p w14:paraId="3F9A7C88" w14:textId="77777777" w:rsidR="00B733FC" w:rsidRDefault="00B733FC" w:rsidP="00FE1E88">
      <w:pPr>
        <w:spacing w:after="0"/>
        <w:rPr>
          <w:b/>
          <w:sz w:val="24"/>
        </w:rPr>
      </w:pPr>
    </w:p>
    <w:p w14:paraId="28189903" w14:textId="77777777" w:rsidR="000E0CED" w:rsidRPr="000E0CED" w:rsidRDefault="000E0CED" w:rsidP="000E0CED">
      <w:pPr>
        <w:spacing w:after="0"/>
        <w:rPr>
          <w:b/>
          <w:sz w:val="24"/>
          <w:u w:val="single"/>
        </w:rPr>
      </w:pPr>
      <w:r w:rsidRPr="000E0CED">
        <w:rPr>
          <w:b/>
          <w:sz w:val="24"/>
          <w:u w:val="single"/>
        </w:rPr>
        <w:t>Suggested Scope and Sequencing of Module</w:t>
      </w:r>
    </w:p>
    <w:p w14:paraId="52B2CE86" w14:textId="77777777" w:rsidR="000E0CED" w:rsidRPr="000E0CED" w:rsidRDefault="000E0CED" w:rsidP="000E0CED">
      <w:pPr>
        <w:spacing w:after="0"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0E0CED" w14:paraId="07CA7A61" w14:textId="77777777" w:rsidTr="00863DEA">
        <w:tc>
          <w:tcPr>
            <w:tcW w:w="2178" w:type="dxa"/>
          </w:tcPr>
          <w:p w14:paraId="7A69850E" w14:textId="2D996330" w:rsidR="000E0CED" w:rsidRPr="00487548" w:rsidRDefault="003E46E0" w:rsidP="00863DEA">
            <w:pPr>
              <w:rPr>
                <w:b/>
                <w:sz w:val="20"/>
                <w:szCs w:val="20"/>
              </w:rPr>
            </w:pPr>
            <w:r w:rsidRPr="00487548">
              <w:rPr>
                <w:b/>
                <w:sz w:val="20"/>
                <w:szCs w:val="20"/>
              </w:rPr>
              <w:t>Module Content</w:t>
            </w:r>
          </w:p>
        </w:tc>
        <w:tc>
          <w:tcPr>
            <w:tcW w:w="7398" w:type="dxa"/>
          </w:tcPr>
          <w:p w14:paraId="09331572" w14:textId="484EEBE3" w:rsidR="000E0CED" w:rsidRPr="000E0CED" w:rsidRDefault="000E0CED" w:rsidP="000E0CED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b w:val="0"/>
                <w:sz w:val="20"/>
              </w:rPr>
            </w:pPr>
            <w:r w:rsidRPr="000E0CED">
              <w:rPr>
                <w:rFonts w:asciiTheme="minorHAnsi" w:hAnsiTheme="minorHAnsi" w:cstheme="minorHAnsi"/>
                <w:b w:val="0"/>
                <w:sz w:val="20"/>
              </w:rPr>
              <w:t>Guided Reading/Note-Taking, and PowerPoint Presentation</w:t>
            </w:r>
            <w:r w:rsidR="00863DEA">
              <w:rPr>
                <w:rFonts w:asciiTheme="minorHAnsi" w:hAnsiTheme="minorHAnsi" w:cstheme="minorHAnsi"/>
                <w:b w:val="0"/>
                <w:sz w:val="20"/>
              </w:rPr>
              <w:t xml:space="preserve"> (through Earth’s Energy Balance</w:t>
            </w:r>
            <w:r>
              <w:rPr>
                <w:rFonts w:asciiTheme="minorHAnsi" w:hAnsiTheme="minorHAnsi" w:cstheme="minorHAnsi"/>
                <w:b w:val="0"/>
                <w:sz w:val="20"/>
              </w:rPr>
              <w:t>)</w:t>
            </w:r>
          </w:p>
        </w:tc>
      </w:tr>
      <w:tr w:rsidR="000E0CED" w14:paraId="624081CD" w14:textId="77777777" w:rsidTr="00863DEA">
        <w:tc>
          <w:tcPr>
            <w:tcW w:w="2178" w:type="dxa"/>
          </w:tcPr>
          <w:p w14:paraId="65EFC6BD" w14:textId="1EC9640B" w:rsidR="000E0CED" w:rsidRPr="00487548" w:rsidRDefault="000E0CED" w:rsidP="00863DEA">
            <w:pPr>
              <w:rPr>
                <w:b/>
                <w:sz w:val="20"/>
                <w:szCs w:val="20"/>
              </w:rPr>
            </w:pPr>
            <w:r w:rsidRPr="00487548">
              <w:rPr>
                <w:b/>
                <w:sz w:val="20"/>
                <w:szCs w:val="20"/>
              </w:rPr>
              <w:t>Investigation Lesson</w:t>
            </w:r>
          </w:p>
        </w:tc>
        <w:tc>
          <w:tcPr>
            <w:tcW w:w="7398" w:type="dxa"/>
          </w:tcPr>
          <w:p w14:paraId="3AA83686" w14:textId="16BC48EC" w:rsidR="000E0CED" w:rsidRPr="000E0CED" w:rsidRDefault="000E0CED" w:rsidP="000E0CED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b w:val="0"/>
                <w:sz w:val="20"/>
              </w:rPr>
            </w:pPr>
            <w:r w:rsidRPr="000E0CED">
              <w:rPr>
                <w:rFonts w:asciiTheme="minorHAnsi" w:hAnsiTheme="minorHAnsi" w:cstheme="minorHAnsi"/>
                <w:b w:val="0"/>
                <w:sz w:val="20"/>
              </w:rPr>
              <w:t>Earth’s Energy Budget</w:t>
            </w:r>
            <w:r w:rsidR="00863DEA">
              <w:rPr>
                <w:rFonts w:asciiTheme="minorHAnsi" w:hAnsiTheme="minorHAnsi" w:cstheme="minorHAnsi"/>
                <w:b w:val="0"/>
                <w:sz w:val="20"/>
              </w:rPr>
              <w:t>: How Is the Temperature of Earth Controlled?</w:t>
            </w:r>
          </w:p>
        </w:tc>
      </w:tr>
      <w:tr w:rsidR="000E0CED" w14:paraId="49EC2445" w14:textId="77777777" w:rsidTr="00863DEA">
        <w:tc>
          <w:tcPr>
            <w:tcW w:w="2178" w:type="dxa"/>
          </w:tcPr>
          <w:p w14:paraId="5895A219" w14:textId="6B55C3C4" w:rsidR="000E0CED" w:rsidRPr="00487548" w:rsidRDefault="003E46E0" w:rsidP="00863DEA">
            <w:pPr>
              <w:rPr>
                <w:b/>
                <w:sz w:val="20"/>
                <w:szCs w:val="20"/>
              </w:rPr>
            </w:pPr>
            <w:r w:rsidRPr="00487548">
              <w:rPr>
                <w:b/>
                <w:sz w:val="20"/>
                <w:szCs w:val="20"/>
              </w:rPr>
              <w:t>Module Content</w:t>
            </w:r>
          </w:p>
        </w:tc>
        <w:tc>
          <w:tcPr>
            <w:tcW w:w="7398" w:type="dxa"/>
          </w:tcPr>
          <w:p w14:paraId="7F786CA0" w14:textId="72560A55" w:rsidR="000E0CED" w:rsidRDefault="000E0CED" w:rsidP="000E0CED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b w:val="0"/>
                <w:sz w:val="20"/>
              </w:rPr>
            </w:pPr>
            <w:r w:rsidRPr="000E0CED">
              <w:rPr>
                <w:rFonts w:asciiTheme="minorHAnsi" w:hAnsiTheme="minorHAnsi" w:cstheme="minorHAnsi"/>
                <w:b w:val="0"/>
                <w:sz w:val="20"/>
              </w:rPr>
              <w:t>Guided Reading/Note-Taking, and PowerPoint Presentation</w:t>
            </w:r>
            <w:r w:rsidR="00863DEA">
              <w:rPr>
                <w:rFonts w:asciiTheme="minorHAnsi" w:hAnsiTheme="minorHAnsi" w:cstheme="minorHAnsi"/>
                <w:b w:val="0"/>
                <w:sz w:val="20"/>
              </w:rPr>
              <w:t xml:space="preserve"> (T</w:t>
            </w:r>
            <w:r>
              <w:rPr>
                <w:rFonts w:asciiTheme="minorHAnsi" w:hAnsiTheme="minorHAnsi" w:cstheme="minorHAnsi"/>
                <w:b w:val="0"/>
                <w:sz w:val="20"/>
              </w:rPr>
              <w:t>he Greenhouse Effect)</w:t>
            </w:r>
          </w:p>
        </w:tc>
      </w:tr>
      <w:tr w:rsidR="000E0CED" w14:paraId="4A2C802E" w14:textId="77777777" w:rsidTr="00863DEA">
        <w:tc>
          <w:tcPr>
            <w:tcW w:w="2178" w:type="dxa"/>
          </w:tcPr>
          <w:p w14:paraId="5E2D3E95" w14:textId="5444271F" w:rsidR="000E0CED" w:rsidRPr="00487548" w:rsidRDefault="000E0CED" w:rsidP="000E0CED">
            <w:pPr>
              <w:rPr>
                <w:b/>
                <w:bCs/>
                <w:sz w:val="20"/>
                <w:szCs w:val="20"/>
              </w:rPr>
            </w:pPr>
            <w:r w:rsidRPr="00487548">
              <w:rPr>
                <w:b/>
                <w:sz w:val="20"/>
                <w:szCs w:val="20"/>
              </w:rPr>
              <w:t>Inquiry Lessons</w:t>
            </w:r>
          </w:p>
        </w:tc>
        <w:tc>
          <w:tcPr>
            <w:tcW w:w="7398" w:type="dxa"/>
          </w:tcPr>
          <w:p w14:paraId="29CAAFA9" w14:textId="77B3017C" w:rsidR="000E0CED" w:rsidRDefault="00863DEA" w:rsidP="00863DEA">
            <w:pPr>
              <w:rPr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How Strong Is Water Vapor’s Ability to Absorb Heat?</w:t>
            </w:r>
          </w:p>
          <w:p w14:paraId="08C6B578" w14:textId="505944AD" w:rsidR="000E0CED" w:rsidRPr="00863DEA" w:rsidRDefault="00863DEA" w:rsidP="00863DEA">
            <w:pPr>
              <w:rPr>
                <w:rFonts w:cstheme="majorHAnsi"/>
                <w:sz w:val="20"/>
                <w:szCs w:val="20"/>
              </w:rPr>
            </w:pPr>
            <w:r w:rsidRPr="00863DEA">
              <w:rPr>
                <w:rFonts w:cstheme="majorHAnsi"/>
                <w:sz w:val="20"/>
                <w:szCs w:val="20"/>
              </w:rPr>
              <w:t xml:space="preserve">How Does the Concentration of Carbon Dioxide Affect The Temperature of a Closed Environment? </w:t>
            </w:r>
          </w:p>
        </w:tc>
      </w:tr>
      <w:tr w:rsidR="000E0CED" w14:paraId="7B282B58" w14:textId="77777777" w:rsidTr="00863DEA">
        <w:tc>
          <w:tcPr>
            <w:tcW w:w="2178" w:type="dxa"/>
          </w:tcPr>
          <w:p w14:paraId="07BC4FA1" w14:textId="77777777" w:rsidR="000E0CED" w:rsidRPr="00487548" w:rsidRDefault="000E0CED" w:rsidP="00863DEA">
            <w:pPr>
              <w:rPr>
                <w:b/>
                <w:sz w:val="20"/>
                <w:szCs w:val="20"/>
              </w:rPr>
            </w:pPr>
            <w:r w:rsidRPr="00487548">
              <w:rPr>
                <w:b/>
                <w:sz w:val="20"/>
                <w:szCs w:val="20"/>
              </w:rPr>
              <w:t>Argumentation Practice</w:t>
            </w:r>
          </w:p>
        </w:tc>
        <w:tc>
          <w:tcPr>
            <w:tcW w:w="7398" w:type="dxa"/>
          </w:tcPr>
          <w:p w14:paraId="5E4794E6" w14:textId="77C684F2" w:rsidR="000E0CED" w:rsidRPr="00E678D2" w:rsidRDefault="00487548" w:rsidP="00487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Addressing Skeptics’ Claims</w:t>
            </w:r>
            <w:r w:rsidR="000E0CED">
              <w:rPr>
                <w:sz w:val="20"/>
                <w:szCs w:val="20"/>
              </w:rPr>
              <w:t xml:space="preserve"> </w:t>
            </w:r>
            <w:r w:rsidR="004373DE">
              <w:rPr>
                <w:sz w:val="20"/>
                <w:szCs w:val="20"/>
              </w:rPr>
              <w:t xml:space="preserve">about </w:t>
            </w:r>
            <w:r w:rsidR="00863DEA">
              <w:rPr>
                <w:sz w:val="20"/>
                <w:szCs w:val="20"/>
              </w:rPr>
              <w:t>Energy</w:t>
            </w:r>
            <w:r>
              <w:rPr>
                <w:sz w:val="20"/>
                <w:szCs w:val="20"/>
              </w:rPr>
              <w:t>:</w:t>
            </w:r>
            <w:r w:rsidR="004373DE">
              <w:rPr>
                <w:sz w:val="20"/>
                <w:szCs w:val="20"/>
              </w:rPr>
              <w:t xml:space="preserve"> The Driver of Climate</w:t>
            </w:r>
          </w:p>
        </w:tc>
      </w:tr>
      <w:tr w:rsidR="000E0CED" w14:paraId="334639DB" w14:textId="77777777" w:rsidTr="00863DEA">
        <w:tc>
          <w:tcPr>
            <w:tcW w:w="2178" w:type="dxa"/>
          </w:tcPr>
          <w:p w14:paraId="4F13CF78" w14:textId="77777777" w:rsidR="000E0CED" w:rsidRPr="00487548" w:rsidRDefault="000E0CED" w:rsidP="00863DEA">
            <w:pPr>
              <w:rPr>
                <w:b/>
                <w:sz w:val="20"/>
                <w:szCs w:val="20"/>
              </w:rPr>
            </w:pPr>
            <w:r w:rsidRPr="00487548">
              <w:rPr>
                <w:b/>
                <w:bCs/>
                <w:sz w:val="20"/>
                <w:szCs w:val="20"/>
              </w:rPr>
              <w:t>Eva</w:t>
            </w:r>
            <w:bookmarkStart w:id="0" w:name="_GoBack"/>
            <w:bookmarkEnd w:id="0"/>
            <w:r w:rsidRPr="00487548">
              <w:rPr>
                <w:b/>
                <w:bCs/>
                <w:sz w:val="20"/>
                <w:szCs w:val="20"/>
              </w:rPr>
              <w:t>luation</w:t>
            </w:r>
          </w:p>
        </w:tc>
        <w:tc>
          <w:tcPr>
            <w:tcW w:w="7398" w:type="dxa"/>
          </w:tcPr>
          <w:p w14:paraId="460B1C37" w14:textId="77777777" w:rsidR="000E0CED" w:rsidRPr="00E678D2" w:rsidRDefault="000E0CED" w:rsidP="00863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 and Post Quiz Questions, Inquiry Lesson, Guided Reading/Note-Taking, and Argumentation Practice</w:t>
            </w:r>
          </w:p>
        </w:tc>
      </w:tr>
    </w:tbl>
    <w:p w14:paraId="55E3A7CA" w14:textId="77777777" w:rsidR="001C78A6" w:rsidRPr="001C78A6" w:rsidRDefault="001C78A6" w:rsidP="001C78A6">
      <w:pPr>
        <w:spacing w:after="0"/>
        <w:rPr>
          <w:b/>
          <w:sz w:val="24"/>
        </w:rPr>
      </w:pPr>
    </w:p>
    <w:sectPr w:rsidR="001C78A6" w:rsidRPr="001C78A6" w:rsidSect="00487548">
      <w:headerReference w:type="default" r:id="rId8"/>
      <w:pgSz w:w="12240" w:h="15840"/>
      <w:pgMar w:top="1440" w:right="1440" w:bottom="900" w:left="1440" w:header="720" w:footer="720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5470C" w14:textId="77777777" w:rsidR="00863DEA" w:rsidRDefault="00863DEA" w:rsidP="00FE1E88">
      <w:pPr>
        <w:spacing w:after="0" w:line="240" w:lineRule="auto"/>
      </w:pPr>
      <w:r>
        <w:separator/>
      </w:r>
    </w:p>
  </w:endnote>
  <w:endnote w:type="continuationSeparator" w:id="0">
    <w:p w14:paraId="6ECA8332" w14:textId="77777777" w:rsidR="00863DEA" w:rsidRDefault="00863DEA" w:rsidP="00FE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8D769" w14:textId="77777777" w:rsidR="00863DEA" w:rsidRDefault="00863DEA" w:rsidP="00FE1E88">
      <w:pPr>
        <w:spacing w:after="0" w:line="240" w:lineRule="auto"/>
      </w:pPr>
      <w:r>
        <w:separator/>
      </w:r>
    </w:p>
  </w:footnote>
  <w:footnote w:type="continuationSeparator" w:id="0">
    <w:p w14:paraId="66973562" w14:textId="77777777" w:rsidR="00863DEA" w:rsidRDefault="00863DEA" w:rsidP="00FE1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749AC" w14:textId="77777777" w:rsidR="00863DEA" w:rsidRPr="00FE1E88" w:rsidRDefault="00863DEA" w:rsidP="00FE1E88">
    <w:pPr>
      <w:spacing w:after="0"/>
      <w:jc w:val="center"/>
      <w:rPr>
        <w:b/>
        <w:sz w:val="24"/>
      </w:rPr>
    </w:pPr>
    <w:r w:rsidRPr="00FE1E88">
      <w:rPr>
        <w:b/>
        <w:sz w:val="24"/>
      </w:rPr>
      <w:t>CSI: South Florida</w:t>
    </w:r>
  </w:p>
  <w:p w14:paraId="1C021E35" w14:textId="77777777" w:rsidR="00863DEA" w:rsidRDefault="00863DEA" w:rsidP="00FE1E88">
    <w:pPr>
      <w:spacing w:after="0"/>
      <w:jc w:val="center"/>
    </w:pPr>
    <w:r w:rsidRPr="00FE1E88">
      <w:rPr>
        <w:b/>
        <w:sz w:val="24"/>
      </w:rPr>
      <w:t>Scope and Sequencing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7466DE"/>
    <w:multiLevelType w:val="hybridMultilevel"/>
    <w:tmpl w:val="2DE04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88"/>
    <w:rsid w:val="000E0CED"/>
    <w:rsid w:val="001C78A6"/>
    <w:rsid w:val="00214279"/>
    <w:rsid w:val="00241E42"/>
    <w:rsid w:val="003573AE"/>
    <w:rsid w:val="003E46E0"/>
    <w:rsid w:val="004373DE"/>
    <w:rsid w:val="004572EA"/>
    <w:rsid w:val="00487548"/>
    <w:rsid w:val="00490C1C"/>
    <w:rsid w:val="004B3EA5"/>
    <w:rsid w:val="00566982"/>
    <w:rsid w:val="005F559E"/>
    <w:rsid w:val="00795AC5"/>
    <w:rsid w:val="007A1FEB"/>
    <w:rsid w:val="008030E8"/>
    <w:rsid w:val="008040F1"/>
    <w:rsid w:val="00863DEA"/>
    <w:rsid w:val="008C1811"/>
    <w:rsid w:val="00A636ED"/>
    <w:rsid w:val="00AC2DD5"/>
    <w:rsid w:val="00B733FC"/>
    <w:rsid w:val="00BD18A4"/>
    <w:rsid w:val="00BE0FB9"/>
    <w:rsid w:val="00CC2F7F"/>
    <w:rsid w:val="00FE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494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88"/>
  </w:style>
  <w:style w:type="paragraph" w:styleId="Footer">
    <w:name w:val="footer"/>
    <w:basedOn w:val="Normal"/>
    <w:link w:val="FooterChar"/>
    <w:uiPriority w:val="99"/>
    <w:unhideWhenUsed/>
    <w:rsid w:val="00FE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88"/>
  </w:style>
  <w:style w:type="paragraph" w:styleId="ListParagraph">
    <w:name w:val="List Paragraph"/>
    <w:basedOn w:val="Normal"/>
    <w:uiPriority w:val="34"/>
    <w:qFormat/>
    <w:rsid w:val="00FE1E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3E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0E0CED"/>
    <w:pPr>
      <w:spacing w:after="0" w:line="240" w:lineRule="auto"/>
      <w:jc w:val="center"/>
    </w:pPr>
    <w:rPr>
      <w:rFonts w:ascii="Times" w:eastAsia="Times" w:hAnsi="Time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E0CED"/>
    <w:rPr>
      <w:rFonts w:ascii="Times" w:eastAsia="Times" w:hAnsi="Times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88"/>
  </w:style>
  <w:style w:type="paragraph" w:styleId="Footer">
    <w:name w:val="footer"/>
    <w:basedOn w:val="Normal"/>
    <w:link w:val="FooterChar"/>
    <w:uiPriority w:val="99"/>
    <w:unhideWhenUsed/>
    <w:rsid w:val="00FE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88"/>
  </w:style>
  <w:style w:type="paragraph" w:styleId="ListParagraph">
    <w:name w:val="List Paragraph"/>
    <w:basedOn w:val="Normal"/>
    <w:uiPriority w:val="34"/>
    <w:qFormat/>
    <w:rsid w:val="00FE1E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3E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0E0CED"/>
    <w:pPr>
      <w:spacing w:after="0" w:line="240" w:lineRule="auto"/>
      <w:jc w:val="center"/>
    </w:pPr>
    <w:rPr>
      <w:rFonts w:ascii="Times" w:eastAsia="Times" w:hAnsi="Time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E0CED"/>
    <w:rPr>
      <w:rFonts w:ascii="Times" w:eastAsia="Times" w:hAnsi="Times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</dc:creator>
  <cp:lastModifiedBy>Alana Edwards</cp:lastModifiedBy>
  <cp:revision>4</cp:revision>
  <dcterms:created xsi:type="dcterms:W3CDTF">2013-05-20T20:17:00Z</dcterms:created>
  <dcterms:modified xsi:type="dcterms:W3CDTF">2013-10-07T14:50:00Z</dcterms:modified>
</cp:coreProperties>
</file>